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0B" w:rsidRPr="003F010B" w:rsidRDefault="003F010B" w:rsidP="003F010B">
      <w:pPr>
        <w:spacing w:after="60"/>
        <w:rPr>
          <w:rFonts w:ascii="Times New Roman" w:hAnsi="Times New Roman"/>
          <w:b/>
          <w:szCs w:val="24"/>
          <w:u w:val="single"/>
          <w:lang w:val="en-US"/>
        </w:rPr>
      </w:pPr>
      <w:r w:rsidRPr="003F010B">
        <w:rPr>
          <w:rFonts w:ascii="Times New Roman" w:hAnsi="Times New Roman"/>
          <w:b/>
          <w:szCs w:val="24"/>
          <w:u w:val="single"/>
          <w:lang w:val="en-US"/>
        </w:rPr>
        <w:t>Question:</w:t>
      </w:r>
    </w:p>
    <w:p w:rsidR="003F010B" w:rsidRPr="00F277EB" w:rsidRDefault="003F010B" w:rsidP="00C05256">
      <w:pPr>
        <w:spacing w:after="60"/>
        <w:rPr>
          <w:rFonts w:ascii="Times New Roman" w:hAnsi="Times New Roman"/>
          <w:b/>
          <w:szCs w:val="24"/>
        </w:rPr>
      </w:pPr>
      <w:r>
        <w:rPr>
          <w:rFonts w:ascii="Times New Roman" w:hAnsi="Times New Roman"/>
          <w:szCs w:val="24"/>
        </w:rPr>
        <w:t xml:space="preserve">Необходимост от разяснения във връзка с изпълнението на изискванията за прозрачност, произтичащи от чл. 9, </w:t>
      </w:r>
      <w:proofErr w:type="spellStart"/>
      <w:r>
        <w:rPr>
          <w:rFonts w:ascii="Times New Roman" w:hAnsi="Times New Roman"/>
          <w:szCs w:val="24"/>
        </w:rPr>
        <w:t>пар</w:t>
      </w:r>
      <w:proofErr w:type="spellEnd"/>
      <w:r>
        <w:rPr>
          <w:rFonts w:ascii="Times New Roman" w:hAnsi="Times New Roman"/>
          <w:szCs w:val="24"/>
        </w:rPr>
        <w:t>. 1, букви а) и б) на Регламент (ЕС) № 651/2014</w:t>
      </w:r>
      <w:r w:rsidR="00C05256">
        <w:rPr>
          <w:rFonts w:ascii="Times New Roman" w:hAnsi="Times New Roman"/>
          <w:szCs w:val="24"/>
          <w:lang w:val="en-US"/>
        </w:rPr>
        <w:t>:</w:t>
      </w:r>
      <w:r w:rsidRPr="00F277EB">
        <w:rPr>
          <w:rFonts w:ascii="Times New Roman" w:hAnsi="Times New Roman"/>
          <w:b/>
          <w:szCs w:val="24"/>
        </w:rPr>
        <w:tab/>
      </w:r>
    </w:p>
    <w:p w:rsidR="003F010B" w:rsidRDefault="003F010B" w:rsidP="003F010B">
      <w:pPr>
        <w:jc w:val="both"/>
        <w:rPr>
          <w:rFonts w:ascii="Times New Roman" w:hAnsi="Times New Roman"/>
        </w:rPr>
      </w:pPr>
      <w:r>
        <w:rPr>
          <w:rFonts w:ascii="Times New Roman" w:hAnsi="Times New Roman"/>
        </w:rPr>
        <w:t>Република България (РБ) за изпълнение на задължението си за осигуряване на прозрачност на държавните помощи извън сектора на селското стопанство и рибарството е поела ангажимент</w:t>
      </w:r>
      <w:r>
        <w:rPr>
          <w:rStyle w:val="FootnoteReference"/>
          <w:rFonts w:ascii="Times New Roman" w:hAnsi="Times New Roman"/>
        </w:rPr>
        <w:footnoteReference w:id="1"/>
      </w:r>
      <w:r>
        <w:rPr>
          <w:rFonts w:ascii="Times New Roman" w:hAnsi="Times New Roman"/>
        </w:rPr>
        <w:t xml:space="preserve"> пред Европейската комисия, като подробен уебсайт за държавна помощ по смисъла на чл. 9, </w:t>
      </w:r>
      <w:proofErr w:type="spellStart"/>
      <w:r>
        <w:rPr>
          <w:rFonts w:ascii="Times New Roman" w:hAnsi="Times New Roman"/>
        </w:rPr>
        <w:t>пар</w:t>
      </w:r>
      <w:proofErr w:type="spellEnd"/>
      <w:r>
        <w:rPr>
          <w:rFonts w:ascii="Times New Roman" w:hAnsi="Times New Roman"/>
        </w:rPr>
        <w:t xml:space="preserve">. 1 от </w:t>
      </w:r>
      <w:r>
        <w:rPr>
          <w:rFonts w:ascii="Times New Roman" w:hAnsi="Times New Roman"/>
          <w:szCs w:val="24"/>
        </w:rPr>
        <w:t>Регламент (ЕС) № 651/2014 (ОРГО)</w:t>
      </w:r>
      <w:r>
        <w:rPr>
          <w:rStyle w:val="FootnoteReference"/>
          <w:rFonts w:ascii="Times New Roman" w:hAnsi="Times New Roman"/>
          <w:szCs w:val="24"/>
        </w:rPr>
        <w:footnoteReference w:id="2"/>
      </w:r>
      <w:r>
        <w:rPr>
          <w:rFonts w:ascii="Times New Roman" w:hAnsi="Times New Roman"/>
          <w:szCs w:val="24"/>
        </w:rPr>
        <w:t xml:space="preserve">, </w:t>
      </w:r>
      <w:r>
        <w:rPr>
          <w:rFonts w:ascii="Times New Roman" w:hAnsi="Times New Roman"/>
        </w:rPr>
        <w:t>да използва директно Модула за прозрачност на ЕК /</w:t>
      </w:r>
      <w:r w:rsidRPr="00AC369B">
        <w:rPr>
          <w:rFonts w:ascii="Times New Roman" w:hAnsi="Times New Roman"/>
        </w:rPr>
        <w:t xml:space="preserve">State </w:t>
      </w:r>
      <w:proofErr w:type="spellStart"/>
      <w:r w:rsidRPr="00AC369B">
        <w:rPr>
          <w:rFonts w:ascii="Times New Roman" w:hAnsi="Times New Roman"/>
        </w:rPr>
        <w:t>Aid</w:t>
      </w:r>
      <w:proofErr w:type="spellEnd"/>
      <w:r w:rsidRPr="00AC369B">
        <w:rPr>
          <w:rFonts w:ascii="Times New Roman" w:hAnsi="Times New Roman"/>
        </w:rPr>
        <w:t xml:space="preserve"> </w:t>
      </w:r>
      <w:proofErr w:type="spellStart"/>
      <w:r w:rsidRPr="00AC369B">
        <w:rPr>
          <w:rFonts w:ascii="Times New Roman" w:hAnsi="Times New Roman"/>
        </w:rPr>
        <w:t>Transparency</w:t>
      </w:r>
      <w:proofErr w:type="spellEnd"/>
      <w:r w:rsidRPr="00AC369B">
        <w:rPr>
          <w:rFonts w:ascii="Times New Roman" w:hAnsi="Times New Roman"/>
        </w:rPr>
        <w:t xml:space="preserve"> </w:t>
      </w:r>
      <w:proofErr w:type="spellStart"/>
      <w:r w:rsidRPr="00AC369B">
        <w:rPr>
          <w:rFonts w:ascii="Times New Roman" w:hAnsi="Times New Roman"/>
        </w:rPr>
        <w:t>Award</w:t>
      </w:r>
      <w:proofErr w:type="spellEnd"/>
      <w:r w:rsidRPr="00AC369B">
        <w:rPr>
          <w:rFonts w:ascii="Times New Roman" w:hAnsi="Times New Roman"/>
        </w:rPr>
        <w:t xml:space="preserve"> </w:t>
      </w:r>
      <w:proofErr w:type="spellStart"/>
      <w:r w:rsidRPr="00AC369B">
        <w:rPr>
          <w:rFonts w:ascii="Times New Roman" w:hAnsi="Times New Roman"/>
        </w:rPr>
        <w:t>Module</w:t>
      </w:r>
      <w:proofErr w:type="spellEnd"/>
      <w:r>
        <w:rPr>
          <w:rFonts w:ascii="Times New Roman" w:hAnsi="Times New Roman"/>
        </w:rPr>
        <w:t>/.</w:t>
      </w:r>
    </w:p>
    <w:p w:rsidR="003F010B" w:rsidRDefault="003F010B" w:rsidP="003F010B">
      <w:pPr>
        <w:jc w:val="both"/>
        <w:rPr>
          <w:rFonts w:ascii="Times New Roman" w:hAnsi="Times New Roman"/>
          <w:szCs w:val="24"/>
        </w:rPr>
      </w:pPr>
      <w:r>
        <w:rPr>
          <w:rFonts w:ascii="Times New Roman" w:hAnsi="Times New Roman"/>
        </w:rPr>
        <w:t xml:space="preserve">Предвид това, моля за разяснения как РБ, по отношение на държавните помощи извън сектора на селското стопанство и рибарството, следва да изпълни </w:t>
      </w:r>
      <w:r w:rsidRPr="00293EE6">
        <w:rPr>
          <w:rFonts w:ascii="Times New Roman" w:hAnsi="Times New Roman"/>
          <w:b/>
          <w:i/>
          <w:szCs w:val="24"/>
        </w:rPr>
        <w:t>чрез Модула за прозрачност на ЕК</w:t>
      </w:r>
      <w:r>
        <w:rPr>
          <w:rFonts w:ascii="Times New Roman" w:hAnsi="Times New Roman"/>
        </w:rPr>
        <w:t xml:space="preserve"> своите задължения, произтичащи от разпоредбата на </w:t>
      </w:r>
      <w:r w:rsidRPr="00293EE6">
        <w:rPr>
          <w:rFonts w:ascii="Times New Roman" w:hAnsi="Times New Roman"/>
          <w:b/>
          <w:i/>
        </w:rPr>
        <w:t xml:space="preserve">чл. 9, </w:t>
      </w:r>
      <w:proofErr w:type="spellStart"/>
      <w:r w:rsidRPr="00293EE6">
        <w:rPr>
          <w:rFonts w:ascii="Times New Roman" w:hAnsi="Times New Roman"/>
          <w:b/>
          <w:i/>
        </w:rPr>
        <w:t>пар</w:t>
      </w:r>
      <w:proofErr w:type="spellEnd"/>
      <w:r w:rsidRPr="00293EE6">
        <w:rPr>
          <w:rFonts w:ascii="Times New Roman" w:hAnsi="Times New Roman"/>
          <w:b/>
          <w:i/>
        </w:rPr>
        <w:t xml:space="preserve">. 1, букви а) и б) на </w:t>
      </w:r>
      <w:r w:rsidRPr="00293EE6">
        <w:rPr>
          <w:rFonts w:ascii="Times New Roman" w:hAnsi="Times New Roman"/>
          <w:b/>
          <w:i/>
          <w:szCs w:val="24"/>
        </w:rPr>
        <w:t>ОРГО</w:t>
      </w:r>
      <w:r>
        <w:rPr>
          <w:rFonts w:ascii="Times New Roman" w:hAnsi="Times New Roman"/>
          <w:szCs w:val="24"/>
        </w:rPr>
        <w:t xml:space="preserve">. </w:t>
      </w:r>
    </w:p>
    <w:p w:rsidR="003F010B" w:rsidRDefault="003F010B" w:rsidP="003F010B">
      <w:pPr>
        <w:jc w:val="both"/>
        <w:rPr>
          <w:rFonts w:ascii="Times New Roman" w:hAnsi="Times New Roman"/>
          <w:szCs w:val="24"/>
        </w:rPr>
      </w:pPr>
      <w:r>
        <w:rPr>
          <w:rFonts w:ascii="Times New Roman" w:hAnsi="Times New Roman"/>
          <w:szCs w:val="24"/>
        </w:rPr>
        <w:t>В тази връзка, моля за Вашето потвърждение относно следното:</w:t>
      </w:r>
    </w:p>
    <w:p w:rsidR="003F010B" w:rsidRDefault="003F010B" w:rsidP="003F010B">
      <w:pPr>
        <w:numPr>
          <w:ilvl w:val="0"/>
          <w:numId w:val="1"/>
        </w:numPr>
        <w:tabs>
          <w:tab w:val="left" w:pos="993"/>
        </w:tabs>
        <w:ind w:left="0" w:firstLine="720"/>
        <w:jc w:val="both"/>
        <w:rPr>
          <w:rFonts w:ascii="Times New Roman" w:hAnsi="Times New Roman"/>
          <w:szCs w:val="24"/>
        </w:rPr>
      </w:pPr>
      <w:r>
        <w:rPr>
          <w:rFonts w:ascii="Times New Roman" w:hAnsi="Times New Roman"/>
          <w:szCs w:val="24"/>
        </w:rPr>
        <w:t xml:space="preserve">Информацията по </w:t>
      </w:r>
      <w:r>
        <w:rPr>
          <w:rFonts w:ascii="Times New Roman" w:hAnsi="Times New Roman"/>
        </w:rPr>
        <w:t xml:space="preserve">чл. 9, </w:t>
      </w:r>
      <w:proofErr w:type="spellStart"/>
      <w:r>
        <w:rPr>
          <w:rFonts w:ascii="Times New Roman" w:hAnsi="Times New Roman"/>
        </w:rPr>
        <w:t>пар</w:t>
      </w:r>
      <w:proofErr w:type="spellEnd"/>
      <w:r>
        <w:rPr>
          <w:rFonts w:ascii="Times New Roman" w:hAnsi="Times New Roman"/>
        </w:rPr>
        <w:t xml:space="preserve">. 1, букви а) и б) на </w:t>
      </w:r>
      <w:r>
        <w:rPr>
          <w:rFonts w:ascii="Times New Roman" w:hAnsi="Times New Roman"/>
          <w:szCs w:val="24"/>
        </w:rPr>
        <w:t xml:space="preserve">ОРГО е достатъчно да бъде публикувана на националните интернет страниците на администраторите на помощи, разработили съответната мярка </w:t>
      </w:r>
      <w:r w:rsidRPr="00293EE6">
        <w:rPr>
          <w:rFonts w:ascii="Times New Roman" w:hAnsi="Times New Roman"/>
          <w:szCs w:val="24"/>
          <w:u w:val="single"/>
        </w:rPr>
        <w:t>или</w:t>
      </w:r>
    </w:p>
    <w:p w:rsidR="003F010B" w:rsidRDefault="003F010B" w:rsidP="003F010B">
      <w:pPr>
        <w:numPr>
          <w:ilvl w:val="0"/>
          <w:numId w:val="1"/>
        </w:numPr>
        <w:tabs>
          <w:tab w:val="left" w:pos="993"/>
        </w:tabs>
        <w:ind w:left="0" w:firstLine="720"/>
        <w:jc w:val="both"/>
        <w:rPr>
          <w:rFonts w:ascii="Times New Roman" w:hAnsi="Times New Roman"/>
          <w:szCs w:val="24"/>
        </w:rPr>
      </w:pPr>
      <w:r>
        <w:rPr>
          <w:rFonts w:ascii="Times New Roman" w:hAnsi="Times New Roman"/>
          <w:szCs w:val="24"/>
        </w:rPr>
        <w:t xml:space="preserve">Информацията по т. 1 </w:t>
      </w:r>
      <w:r w:rsidRPr="0045173B">
        <w:rPr>
          <w:rFonts w:ascii="Times New Roman" w:hAnsi="Times New Roman"/>
          <w:szCs w:val="24"/>
        </w:rPr>
        <w:t>следва</w:t>
      </w:r>
      <w:r>
        <w:rPr>
          <w:rFonts w:ascii="Times New Roman" w:hAnsi="Times New Roman"/>
          <w:szCs w:val="24"/>
        </w:rPr>
        <w:t xml:space="preserve"> да бъде публикувана освен на националните интернет страници на администраторите, разработили съответната мярка, и за същата да бъдат публикувани линкове на интернет страницата на Модула за прозрачност на ЕК. В този случай, моля да ни предоставите и разяснения как технически това може да бъде осъществено.</w:t>
      </w:r>
    </w:p>
    <w:p w:rsidR="003F010B" w:rsidRPr="003F010B" w:rsidRDefault="003F010B" w:rsidP="003F010B">
      <w:pPr>
        <w:rPr>
          <w:b/>
          <w:color w:val="000000"/>
          <w:u w:val="single"/>
          <w:lang w:val="en-GB"/>
        </w:rPr>
      </w:pPr>
      <w:bookmarkStart w:id="0" w:name="_GoBack"/>
      <w:bookmarkEnd w:id="0"/>
    </w:p>
    <w:p w:rsidR="003F010B" w:rsidRPr="003F010B" w:rsidRDefault="003F010B" w:rsidP="003F010B">
      <w:pPr>
        <w:rPr>
          <w:rFonts w:ascii="Times New Roman" w:hAnsi="Times New Roman"/>
          <w:b/>
          <w:color w:val="000000"/>
          <w:u w:val="single"/>
          <w:lang w:val="en-GB"/>
        </w:rPr>
      </w:pPr>
      <w:r w:rsidRPr="003F010B">
        <w:rPr>
          <w:rFonts w:ascii="Times New Roman" w:hAnsi="Times New Roman"/>
          <w:b/>
          <w:color w:val="000000"/>
          <w:u w:val="single"/>
          <w:lang w:val="en-GB"/>
        </w:rPr>
        <w:t>Answer:</w:t>
      </w:r>
    </w:p>
    <w:p w:rsidR="003F010B" w:rsidRPr="003F010B" w:rsidRDefault="003F010B" w:rsidP="003F010B">
      <w:pPr>
        <w:rPr>
          <w:rFonts w:ascii="Times New Roman" w:hAnsi="Times New Roman"/>
          <w:color w:val="000000"/>
          <w:lang w:val="en-GB"/>
        </w:rPr>
      </w:pPr>
      <w:r w:rsidRPr="003F010B">
        <w:rPr>
          <w:rFonts w:ascii="Times New Roman" w:hAnsi="Times New Roman"/>
          <w:color w:val="000000"/>
          <w:lang w:val="en-GB"/>
        </w:rPr>
        <w:t>We hereby confirm that each time an aid award is introduced in the Transparency Award Module (TAM), a link to our State aid registry to comply with art 9 (1) a) and b) is automatically generated for the corresponding SA measure. Additionally, as the obligation deriving from Articles 9(1) (a) and (b) should be fulfilled once the respective schemes are in place, independent of the amount of individual aid awards to be granted, we also added a link to the State aid case registry (</w:t>
      </w:r>
      <w:hyperlink r:id="rId8" w:history="1">
        <w:r w:rsidRPr="003F010B">
          <w:rPr>
            <w:rStyle w:val="Hyperlink"/>
            <w:rFonts w:ascii="Times New Roman" w:hAnsi="Times New Roman"/>
            <w:lang w:val="en-GB"/>
          </w:rPr>
          <w:t>http://ec.europa.eu/competition/elojade/isef/</w:t>
        </w:r>
      </w:hyperlink>
      <w:r w:rsidRPr="003F010B">
        <w:rPr>
          <w:rFonts w:ascii="Times New Roman" w:hAnsi="Times New Roman"/>
          <w:color w:val="000000"/>
          <w:lang w:val="en-GB"/>
        </w:rPr>
        <w:t>) on the TAM public search page. Therefore, using the TAM allows full compliance deriving from obligations under art 9(1</w:t>
      </w:r>
      <w:proofErr w:type="gramStart"/>
      <w:r w:rsidRPr="003F010B">
        <w:rPr>
          <w:rFonts w:ascii="Times New Roman" w:hAnsi="Times New Roman"/>
          <w:color w:val="000000"/>
          <w:lang w:val="en-GB"/>
        </w:rPr>
        <w:t>)(</w:t>
      </w:r>
      <w:proofErr w:type="gramEnd"/>
      <w:r w:rsidRPr="003F010B">
        <w:rPr>
          <w:rFonts w:ascii="Times New Roman" w:hAnsi="Times New Roman"/>
          <w:color w:val="000000"/>
          <w:lang w:val="en-GB"/>
        </w:rPr>
        <w:t>a) &amp; (b), without any need of additional action from your side.</w:t>
      </w:r>
    </w:p>
    <w:p w:rsidR="00C86583" w:rsidRDefault="00322048"/>
    <w:sectPr w:rsidR="00C86583" w:rsidSect="003F010B">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48" w:rsidRDefault="00322048" w:rsidP="003F010B">
      <w:r>
        <w:separator/>
      </w:r>
    </w:p>
  </w:endnote>
  <w:endnote w:type="continuationSeparator" w:id="0">
    <w:p w:rsidR="00322048" w:rsidRDefault="00322048" w:rsidP="003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48" w:rsidRDefault="00322048" w:rsidP="003F010B">
      <w:r>
        <w:separator/>
      </w:r>
    </w:p>
  </w:footnote>
  <w:footnote w:type="continuationSeparator" w:id="0">
    <w:p w:rsidR="00322048" w:rsidRDefault="00322048" w:rsidP="003F010B">
      <w:r>
        <w:continuationSeparator/>
      </w:r>
    </w:p>
  </w:footnote>
  <w:footnote w:id="1">
    <w:p w:rsidR="003F010B" w:rsidRPr="00DF51B1" w:rsidRDefault="003F010B" w:rsidP="003F010B">
      <w:pPr>
        <w:pStyle w:val="FootnoteText"/>
        <w:spacing w:after="0" w:line="240" w:lineRule="auto"/>
        <w:ind w:firstLine="0"/>
        <w:rPr>
          <w:rFonts w:ascii="Times New Roman" w:hAnsi="Times New Roman"/>
          <w:lang w:val="en-US"/>
        </w:rPr>
      </w:pPr>
      <w:r w:rsidRPr="00203BA6">
        <w:rPr>
          <w:rStyle w:val="FootnoteReference"/>
        </w:rPr>
        <w:footnoteRef/>
      </w:r>
      <w:r w:rsidRPr="00203BA6">
        <w:t xml:space="preserve"> </w:t>
      </w:r>
      <w:r w:rsidRPr="00203BA6">
        <w:rPr>
          <w:rFonts w:ascii="Times New Roman" w:hAnsi="Times New Roman"/>
        </w:rPr>
        <w:t>Писмо на Министерството на финансите</w:t>
      </w:r>
      <w:r w:rsidRPr="00203BA6">
        <w:rPr>
          <w:rFonts w:ascii="Times New Roman" w:hAnsi="Times New Roman"/>
          <w:lang w:val="en-US"/>
        </w:rPr>
        <w:t xml:space="preserve"> </w:t>
      </w:r>
      <w:r w:rsidRPr="00203BA6">
        <w:rPr>
          <w:rFonts w:ascii="Times New Roman" w:hAnsi="Times New Roman"/>
        </w:rPr>
        <w:t xml:space="preserve">до ЕК с изх. № 37-01-98/23.07.2016 г. </w:t>
      </w:r>
      <w:r>
        <w:rPr>
          <w:rFonts w:ascii="Times New Roman" w:hAnsi="Times New Roman"/>
        </w:rPr>
        <w:t>(регистрационен номер на ЕК: 2015/072999)</w:t>
      </w:r>
      <w:r w:rsidRPr="00203BA6">
        <w:rPr>
          <w:rFonts w:ascii="Times New Roman" w:hAnsi="Times New Roman"/>
        </w:rPr>
        <w:t xml:space="preserve"> </w:t>
      </w:r>
    </w:p>
  </w:footnote>
  <w:footnote w:id="2">
    <w:p w:rsidR="003F010B" w:rsidRDefault="003F010B" w:rsidP="003F010B">
      <w:pPr>
        <w:pStyle w:val="FootnoteText"/>
        <w:spacing w:after="0" w:line="240" w:lineRule="auto"/>
        <w:ind w:firstLine="0"/>
      </w:pPr>
      <w:r>
        <w:rPr>
          <w:rStyle w:val="FootnoteReference"/>
        </w:rPr>
        <w:footnoteRef/>
      </w:r>
      <w:r>
        <w:t xml:space="preserve"> </w:t>
      </w:r>
      <w:r w:rsidRPr="0069703F">
        <w:rPr>
          <w:rFonts w:ascii="Times New Roman" w:hAnsi="Times New Roman"/>
          <w:lang w:val="en-US"/>
        </w:rPr>
        <w:t>OB L 187</w:t>
      </w:r>
      <w:r w:rsidRPr="0069703F">
        <w:rPr>
          <w:rFonts w:ascii="Times New Roman" w:hAnsi="Times New Roman"/>
        </w:rPr>
        <w:t xml:space="preserve"> от 26.6.2014 г. </w:t>
      </w:r>
      <w:r>
        <w:rPr>
          <w:rFonts w:ascii="Times New Roman" w:hAnsi="Times New Roman"/>
        </w:rPr>
        <w:t xml:space="preserve">- </w:t>
      </w:r>
      <w:r w:rsidRPr="00845840">
        <w:rPr>
          <w:rFonts w:ascii="Times New Roman" w:hAnsi="Times New Roman"/>
        </w:rPr>
        <w:t>Общ регламент за групово освобождаване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913"/>
    <w:multiLevelType w:val="hybridMultilevel"/>
    <w:tmpl w:val="8990DC8E"/>
    <w:lvl w:ilvl="0" w:tplc="E52A083E">
      <w:start w:val="1"/>
      <w:numFmt w:val="decimal"/>
      <w:lvlText w:val="%1."/>
      <w:lvlJc w:val="left"/>
      <w:pPr>
        <w:ind w:left="1695" w:hanging="97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46"/>
    <w:rsid w:val="00322048"/>
    <w:rsid w:val="00396BCD"/>
    <w:rsid w:val="003F010B"/>
    <w:rsid w:val="00C05256"/>
    <w:rsid w:val="00C06F44"/>
    <w:rsid w:val="00E128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0B"/>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0B"/>
    <w:rPr>
      <w:color w:val="0000FF"/>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rsid w:val="003F010B"/>
    <w:pPr>
      <w:tabs>
        <w:tab w:val="center" w:pos="4153"/>
        <w:tab w:val="right" w:pos="8306"/>
      </w:tabs>
      <w:spacing w:after="120" w:line="360" w:lineRule="auto"/>
      <w:ind w:firstLine="720"/>
      <w:jc w:val="both"/>
    </w:pPr>
    <w:rPr>
      <w:rFonts w:ascii="Arial" w:eastAsia="Times New Roman" w:hAnsi="Arial"/>
      <w:sz w:val="24"/>
      <w:szCs w:val="20"/>
      <w:lang w:eastAsia="en-US"/>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3F010B"/>
    <w:rPr>
      <w:rFonts w:ascii="Arial" w:eastAsia="Times New Roman" w:hAnsi="Arial" w:cs="Times New Roman"/>
      <w:sz w:val="24"/>
      <w:szCs w:val="20"/>
    </w:rPr>
  </w:style>
  <w:style w:type="paragraph" w:styleId="FootnoteText">
    <w:name w:val="footnote text"/>
    <w:basedOn w:val="Normal"/>
    <w:link w:val="FootnoteTextChar"/>
    <w:semiHidden/>
    <w:rsid w:val="003F010B"/>
    <w:pPr>
      <w:spacing w:after="120" w:line="360" w:lineRule="auto"/>
      <w:ind w:firstLine="720"/>
      <w:jc w:val="both"/>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3F010B"/>
    <w:rPr>
      <w:rFonts w:ascii="Arial" w:eastAsia="Times New Roman" w:hAnsi="Arial" w:cs="Times New Roman"/>
      <w:sz w:val="20"/>
      <w:szCs w:val="20"/>
    </w:rPr>
  </w:style>
  <w:style w:type="character" w:styleId="FootnoteReference">
    <w:name w:val="footnote reference"/>
    <w:semiHidden/>
    <w:rsid w:val="003F0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0B"/>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0B"/>
    <w:rPr>
      <w:color w:val="0000FF"/>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rsid w:val="003F010B"/>
    <w:pPr>
      <w:tabs>
        <w:tab w:val="center" w:pos="4153"/>
        <w:tab w:val="right" w:pos="8306"/>
      </w:tabs>
      <w:spacing w:after="120" w:line="360" w:lineRule="auto"/>
      <w:ind w:firstLine="720"/>
      <w:jc w:val="both"/>
    </w:pPr>
    <w:rPr>
      <w:rFonts w:ascii="Arial" w:eastAsia="Times New Roman" w:hAnsi="Arial"/>
      <w:sz w:val="24"/>
      <w:szCs w:val="20"/>
      <w:lang w:eastAsia="en-US"/>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3F010B"/>
    <w:rPr>
      <w:rFonts w:ascii="Arial" w:eastAsia="Times New Roman" w:hAnsi="Arial" w:cs="Times New Roman"/>
      <w:sz w:val="24"/>
      <w:szCs w:val="20"/>
    </w:rPr>
  </w:style>
  <w:style w:type="paragraph" w:styleId="FootnoteText">
    <w:name w:val="footnote text"/>
    <w:basedOn w:val="Normal"/>
    <w:link w:val="FootnoteTextChar"/>
    <w:semiHidden/>
    <w:rsid w:val="003F010B"/>
    <w:pPr>
      <w:spacing w:after="120" w:line="360" w:lineRule="auto"/>
      <w:ind w:firstLine="720"/>
      <w:jc w:val="both"/>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3F010B"/>
    <w:rPr>
      <w:rFonts w:ascii="Arial" w:eastAsia="Times New Roman" w:hAnsi="Arial" w:cs="Times New Roman"/>
      <w:sz w:val="20"/>
      <w:szCs w:val="20"/>
    </w:rPr>
  </w:style>
  <w:style w:type="character" w:styleId="FootnoteReference">
    <w:name w:val="footnote reference"/>
    <w:semiHidden/>
    <w:rsid w:val="003F0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elojade/ise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5</cp:revision>
  <dcterms:created xsi:type="dcterms:W3CDTF">2017-03-13T13:26:00Z</dcterms:created>
  <dcterms:modified xsi:type="dcterms:W3CDTF">2017-03-13T13:32:00Z</dcterms:modified>
</cp:coreProperties>
</file>